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E9EF2" w14:textId="3412CD7C" w:rsidR="00144A31" w:rsidRPr="00144A31" w:rsidRDefault="00F023B5" w:rsidP="00144A31">
      <w:pPr>
        <w:jc w:val="right"/>
        <w:rPr>
          <w:rFonts w:ascii="Arial" w:eastAsia="Calibri" w:hAnsi="Arial" w:cs="Arial"/>
          <w:color w:val="595959"/>
          <w:sz w:val="24"/>
        </w:rPr>
      </w:pPr>
      <w:r>
        <w:rPr>
          <w:rFonts w:ascii="Arial" w:eastAsia="Calibri" w:hAnsi="Arial" w:cs="Arial"/>
          <w:color w:val="595959"/>
          <w:sz w:val="24"/>
        </w:rPr>
        <w:t>08.02.2021</w:t>
      </w:r>
    </w:p>
    <w:p w14:paraId="6BD78CD2" w14:textId="57FA2510" w:rsidR="00144A31" w:rsidRPr="00144A31" w:rsidRDefault="005048DD" w:rsidP="005048DD">
      <w:pPr>
        <w:spacing w:line="276" w:lineRule="auto"/>
        <w:ind w:left="567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ГЕНДЕРНЫЙ РАЗРЫВ В НАУКЕ: </w:t>
      </w:r>
      <w:r w:rsidR="00D674D2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ЧТО ПОКАЖЕТ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ПЕРЕПИСЬ?</w:t>
      </w:r>
    </w:p>
    <w:p w14:paraId="787991C4" w14:textId="77777777" w:rsidR="005B7CA0" w:rsidRPr="005B7CA0" w:rsidRDefault="005B7CA0" w:rsidP="00C239C0">
      <w:pPr>
        <w:suppressAutoHyphens/>
        <w:spacing w:line="276" w:lineRule="auto"/>
        <w:ind w:left="1276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b/>
          <w:bCs/>
          <w:color w:val="525252"/>
          <w:sz w:val="24"/>
          <w:szCs w:val="24"/>
          <w:lang w:eastAsia="ar-SA"/>
        </w:rPr>
        <w:t>Среди докторов наук мужчин в два раза больше, чем женщин. В чем причина «научного неравенства», сохранится ли оно в ближайшее десятилетие и сколько всего в России ученых? Об этом рассказываем в День российской науки, который отмечается 8 февраля.</w:t>
      </w:r>
    </w:p>
    <w:p w14:paraId="6AD9FC5E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b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По результатам последней Всероссийской переписи населения, в России насчитывалось 596 тысяч кандидатов наук и 124 тысячи докторов наук. Причем чем выше было звание, тем сильнее гендерный разрыв. Если среди кандидатов наук женщин было 265 тысяч, или 44%, то среди докторов наук — 41 тысяча, 33%. </w:t>
      </w:r>
    </w:p>
    <w:p w14:paraId="47B39F34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b/>
          <w:color w:val="525252"/>
          <w:sz w:val="24"/>
          <w:szCs w:val="24"/>
          <w:lang w:eastAsia="ar-SA"/>
        </w:rPr>
        <w:t>Главный научный сотрудник Института этнологии и антропологии РАН им. Н.Н. Миклухо-Маклая Владимир Зорин</w:t>
      </w: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 полагает, что дисбаланс объясняется во многом объективными причинами. </w:t>
      </w:r>
    </w:p>
    <w:p w14:paraId="50EF6DE0" w14:textId="154581C4" w:rsid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 «Аспирант, который становится кандидатом наук, еще молод, не обременен большим хозяйством. В дальнейшем не все готовы совмещать семейную жизнь и науку, что, вероятно, больше относится к женщинам. Это одна из причин гендерного дисбаланса, а вторая состоит в том, что в технических и гуманитарных науках разнятся сроки работы над диссертациями. Образно говоря, для того чтобы вырастить доктора наук-гуманитария — а именно в этих отраслях больше женщин — нужно времени больше, чем «технаря», — рассуждает ученый.</w:t>
      </w:r>
    </w:p>
    <w:p w14:paraId="591CD1D5" w14:textId="77777777" w:rsidR="002477E7" w:rsidRPr="002477E7" w:rsidRDefault="002477E7" w:rsidP="002477E7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  <w:lang w:eastAsia="ar-SA"/>
        </w:rPr>
      </w:pPr>
      <w:r w:rsidRPr="002477E7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  <w:lang w:eastAsia="ar-SA"/>
        </w:rPr>
        <w:t>Региональная вставка Астраханьстата</w:t>
      </w:r>
    </w:p>
    <w:p w14:paraId="41AAC028" w14:textId="77777777" w:rsidR="002477E7" w:rsidRPr="002477E7" w:rsidRDefault="002477E7" w:rsidP="002477E7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2477E7">
        <w:rPr>
          <w:rFonts w:ascii="Arial" w:eastAsia="Calibri" w:hAnsi="Arial" w:cs="Arial"/>
          <w:color w:val="525252"/>
          <w:sz w:val="24"/>
          <w:szCs w:val="24"/>
          <w:lang w:eastAsia="ar-SA"/>
        </w:rPr>
        <w:t>По переписи 2010 года из 133651 мужчин и женщин Астраханской области, указавших наличие учёной степени, имели степень кандидата наук – 2236 человек (на 1000 человек – 17), имели степень доктора наук – 350 человек (на 1000 человек – 2). И, если по наличию кандидатской степени, соотношение было примерно равное (1014 – мужчин, 1222 – женщин), то мужчин, имеющих степень доктора наук, было почти в 2 раза больше (мужчин – 214 человек, женщин – 136 человек).</w:t>
      </w:r>
    </w:p>
    <w:p w14:paraId="4E9A87F6" w14:textId="77777777" w:rsidR="002477E7" w:rsidRPr="002477E7" w:rsidRDefault="002477E7" w:rsidP="002477E7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2477E7">
        <w:rPr>
          <w:rFonts w:ascii="Arial" w:eastAsia="Calibri" w:hAnsi="Arial" w:cs="Arial"/>
          <w:color w:val="525252"/>
          <w:sz w:val="24"/>
          <w:szCs w:val="24"/>
          <w:lang w:eastAsia="ar-SA"/>
        </w:rPr>
        <w:t>Значительная часть кандидатов и докторов наук проживала в областном центре – городе Астрахани (свыше 95% мужчин и женщин, имеющих степень).</w:t>
      </w:r>
    </w:p>
    <w:p w14:paraId="195EC282" w14:textId="77777777" w:rsidR="002477E7" w:rsidRPr="002477E7" w:rsidRDefault="002477E7" w:rsidP="002477E7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2477E7">
        <w:rPr>
          <w:rFonts w:ascii="Arial" w:eastAsia="Calibri" w:hAnsi="Arial" w:cs="Arial"/>
          <w:color w:val="525252"/>
          <w:sz w:val="24"/>
          <w:szCs w:val="24"/>
          <w:lang w:eastAsia="ar-SA"/>
        </w:rPr>
        <w:lastRenderedPageBreak/>
        <w:t>Всероссийская перепись населения 2010 года показала также, что большая часть мужчин и женщин Астраханской области, имеющих степень кандидата наук, находилась в возрасте от 20 до 50 лет (свыше 60%), тогда как докторскую степень, в основном, имели астраханцы в возрасте 50 лет и старше (свыше 65% от общего числа мужчин и женщин, указавших наличие степени доктора наук).</w:t>
      </w:r>
    </w:p>
    <w:p w14:paraId="269008DB" w14:textId="1A0F2B42" w:rsidR="002477E7" w:rsidRPr="002477E7" w:rsidRDefault="002477E7" w:rsidP="002477E7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  <w:lang w:eastAsia="ar-SA"/>
        </w:rPr>
      </w:pPr>
      <w:r w:rsidRPr="002477E7">
        <w:rPr>
          <w:rFonts w:ascii="Arial" w:eastAsia="Calibri" w:hAnsi="Arial" w:cs="Arial"/>
          <w:b/>
          <w:bCs/>
          <w:i/>
          <w:iCs/>
          <w:color w:val="525252"/>
          <w:sz w:val="24"/>
          <w:szCs w:val="24"/>
          <w:lang w:eastAsia="ar-SA"/>
        </w:rPr>
        <w:t>Продолжение пресс-релиза Медиаофиса Всероссийской переписи населения.</w:t>
      </w:r>
    </w:p>
    <w:p w14:paraId="0C56F801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Объективно оценить динамику развития научного сообщества за последнее десятилетие позволит предстоящая в 2021 году Всероссийская перепись населения.</w:t>
      </w:r>
    </w:p>
    <w:p w14:paraId="7F74F8BB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Впервые вопрос о наличии ученой степени был включен в раздел «Образование» во время переписи 2010 года. По словам Владимира Зорина, за каждый вопрос в переписном листе идет реальная конкуренция, потому что сбор и обработка информации стоит денег. «Средства, затраченные на учет ученых людей в нашей стране, — самые эффективно потраченные», — подчеркивает эксперт.</w:t>
      </w:r>
    </w:p>
    <w:p w14:paraId="45770AE1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Сведения об образовании, включая ученые степени, важны не сами по себе, а как источник данных для построения моделей развития экономики и демографических прогнозов. Также без этих показателей невозможно оценить уровень жизни населения на каждой территории и привлекательность локации для тех или иных проектов. </w:t>
      </w:r>
    </w:p>
    <w:p w14:paraId="02E937A1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 xml:space="preserve">Как подчеркивает </w:t>
      </w:r>
      <w:r w:rsidRPr="005B7CA0">
        <w:rPr>
          <w:rFonts w:ascii="Arial" w:eastAsia="Calibri" w:hAnsi="Arial" w:cs="Arial"/>
          <w:b/>
          <w:color w:val="525252"/>
          <w:sz w:val="24"/>
          <w:szCs w:val="24"/>
          <w:lang w:eastAsia="ar-SA"/>
        </w:rPr>
        <w:t>проректор РЭУ им. Г.В. Плеханова Дмитрий Штыхно</w:t>
      </w: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, в первой версии этого параметра переписи в 2010 году территориальное деление было реализовано до субъектов РФ и автономных округов. </w:t>
      </w:r>
    </w:p>
    <w:p w14:paraId="4807BF74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«На основе таких данных можно оценить качество трудовых ресурсов региона, особенно если идет речь о размещении наукоемких производств или исследовательских центров, что наиболее актуально для территорий Дальнего Востока, — отмечает Дмитрий Штыхно. — Во взаимосвязи с другими показателями, в том числе, показателями дохода, распределение "мозгов" дает понимание, насколько эффективны система подготовки кадров высшей квалификации и их последующее использование». </w:t>
      </w:r>
    </w:p>
    <w:p w14:paraId="6C48A62C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t>По словам эксперта, дополнительные гендерные и возрастные сведения могут быть использованы для оценки привлекательности науки и сферы исследований и разработок как карьерной траектории юношей и девушек, что, в свою очередь, может помочь в решении проблемы «старения» науки. </w:t>
      </w:r>
    </w:p>
    <w:p w14:paraId="3A1BDF72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i/>
          <w:iCs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color w:val="525252"/>
          <w:sz w:val="24"/>
          <w:szCs w:val="24"/>
          <w:lang w:eastAsia="ar-SA"/>
        </w:rPr>
        <w:lastRenderedPageBreak/>
        <w:t>«С 1990 годов и далее в течение пары десятков лет российская наука не рассматривалась молодёжью как привлекательное направление для трудоустройства. Отсюда и дефицит идей, и дефицит кадров, и проблемы с администрированием и организацией хозяйственной деятельности научных организаций. Если вузы с 2010 годов работали над формированием стратегий повышения конкурентоспособности и повышением эффективности своей деятельности, то для научных организаций эта работа началась сравнительно недавно. Следует использовать возможности, которые представляет Год науки и технологий для обозначения проблем и поиска путей их решения, причем только общими усилиями», — резюмирует Штыхно.</w:t>
      </w:r>
    </w:p>
    <w:p w14:paraId="5A57DCD3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i/>
          <w:iCs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i/>
          <w:iCs/>
          <w:color w:val="525252"/>
          <w:sz w:val="24"/>
          <w:szCs w:val="24"/>
          <w:lang w:eastAsia="ar-SA"/>
        </w:rPr>
        <w:t>Справка: </w:t>
      </w:r>
    </w:p>
    <w:p w14:paraId="77BF5E45" w14:textId="77777777" w:rsidR="005B7CA0" w:rsidRPr="005B7CA0" w:rsidRDefault="005B7CA0" w:rsidP="005B7CA0">
      <w:pPr>
        <w:suppressAutoHyphens/>
        <w:spacing w:line="276" w:lineRule="auto"/>
        <w:ind w:firstLine="709"/>
        <w:jc w:val="both"/>
        <w:rPr>
          <w:rFonts w:ascii="Arial" w:eastAsia="Calibri" w:hAnsi="Arial" w:cs="Arial"/>
          <w:i/>
          <w:color w:val="525252"/>
          <w:sz w:val="24"/>
          <w:szCs w:val="24"/>
          <w:lang w:eastAsia="ar-SA"/>
        </w:rPr>
      </w:pPr>
      <w:r w:rsidRPr="005B7CA0">
        <w:rPr>
          <w:rFonts w:ascii="Arial" w:eastAsia="Calibri" w:hAnsi="Arial" w:cs="Arial"/>
          <w:i/>
          <w:iCs/>
          <w:color w:val="525252"/>
          <w:sz w:val="24"/>
          <w:szCs w:val="24"/>
          <w:lang w:eastAsia="ar-SA"/>
        </w:rPr>
        <w:t>День российской науки отмечается с 1999 года. Восьмое февраля выбрано в качестве памятной даты неслучайно: в этот день (28 января по старому стилю) 1724 года вышел указ правительствую</w:t>
      </w:r>
      <w:bookmarkStart w:id="0" w:name="Bookmark"/>
      <w:bookmarkEnd w:id="0"/>
      <w:r w:rsidRPr="005B7CA0">
        <w:rPr>
          <w:rFonts w:ascii="Arial" w:eastAsia="Calibri" w:hAnsi="Arial" w:cs="Arial"/>
          <w:i/>
          <w:iCs/>
          <w:color w:val="525252"/>
          <w:sz w:val="24"/>
          <w:szCs w:val="24"/>
          <w:lang w:eastAsia="ar-SA"/>
        </w:rPr>
        <w:t>щего сената об учреждении Российской академии наук и Академического университета.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11393DD6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r w:rsidRPr="00FF7AF6">
        <w:rPr>
          <w:rFonts w:ascii="Arial" w:eastAsia="Calibri" w:hAnsi="Arial" w:cs="Arial"/>
          <w:b/>
          <w:color w:val="595959"/>
          <w:sz w:val="24"/>
        </w:rPr>
        <w:t>Медиаофис</w:t>
      </w:r>
      <w:r w:rsidRPr="00FF7AF6">
        <w:rPr>
          <w:rFonts w:ascii="Calibri" w:eastAsia="Calibri" w:hAnsi="Calibri" w:cs="Times New Roman"/>
        </w:rPr>
        <w:t xml:space="preserve"> </w:t>
      </w:r>
      <w:r w:rsidRPr="00FF7AF6">
        <w:rPr>
          <w:rFonts w:ascii="Arial" w:eastAsia="Calibri" w:hAnsi="Arial" w:cs="Arial"/>
          <w:b/>
          <w:color w:val="595959"/>
          <w:sz w:val="24"/>
        </w:rPr>
        <w:t>Всероссийской переписи населения</w:t>
      </w:r>
    </w:p>
    <w:p w14:paraId="5C05E214" w14:textId="77777777" w:rsidR="00FF7AF6" w:rsidRPr="00FF7AF6" w:rsidRDefault="005C71D3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8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5C71D3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9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t>+7 (495) 933-31-94</w:t>
      </w:r>
    </w:p>
    <w:p w14:paraId="2643E1D9" w14:textId="77777777" w:rsidR="00FF7AF6" w:rsidRPr="00FF7AF6" w:rsidRDefault="005C71D3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5C71D3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5C71D3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5C71D3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5C71D3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5CC15" w14:textId="77777777" w:rsidR="005C71D3" w:rsidRDefault="005C71D3" w:rsidP="00A02726">
      <w:pPr>
        <w:spacing w:after="0" w:line="240" w:lineRule="auto"/>
      </w:pPr>
      <w:r>
        <w:separator/>
      </w:r>
    </w:p>
  </w:endnote>
  <w:endnote w:type="continuationSeparator" w:id="0">
    <w:p w14:paraId="4DED4D69" w14:textId="77777777" w:rsidR="005C71D3" w:rsidRDefault="005C71D3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C239C0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83E57" w14:textId="77777777" w:rsidR="005C71D3" w:rsidRDefault="005C71D3" w:rsidP="00A02726">
      <w:pPr>
        <w:spacing w:after="0" w:line="240" w:lineRule="auto"/>
      </w:pPr>
      <w:r>
        <w:separator/>
      </w:r>
    </w:p>
  </w:footnote>
  <w:footnote w:type="continuationSeparator" w:id="0">
    <w:p w14:paraId="34AE6722" w14:textId="77777777" w:rsidR="005C71D3" w:rsidRDefault="005C71D3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F1047" w14:textId="77777777" w:rsidR="00962C5A" w:rsidRDefault="005C71D3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71D3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69ADD" w14:textId="77777777" w:rsidR="00962C5A" w:rsidRDefault="005C71D3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22B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477E7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8DD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B7CA0"/>
    <w:rsid w:val="005C1B88"/>
    <w:rsid w:val="005C27FA"/>
    <w:rsid w:val="005C4423"/>
    <w:rsid w:val="005C4E0B"/>
    <w:rsid w:val="005C6572"/>
    <w:rsid w:val="005C6A5A"/>
    <w:rsid w:val="005C71D3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5B66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39C0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4D2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3B5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0FAB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  <w15:docId w15:val="{60378384-2DFC-44C8-9DC7-D6115F9D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a@strana2020.ru" TargetMode="External"/><Relationship Id="rId13" Type="http://schemas.openxmlformats.org/officeDocument/2006/relationships/hyperlink" Target="https://www.instagram.com/strana202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ok.ru/strana202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strana202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www.facebook.com/strana2020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strana2020.ru" TargetMode="External"/><Relationship Id="rId14" Type="http://schemas.openxmlformats.org/officeDocument/2006/relationships/hyperlink" Target="https://www.youtube.com/channel/UCgTKw3dQVvCVGJuHqiWG5Z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116D6-51FD-4E5A-8A04-95BF8577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Князев Сергей Станиславович</cp:lastModifiedBy>
  <cp:revision>8</cp:revision>
  <cp:lastPrinted>2020-02-13T18:03:00Z</cp:lastPrinted>
  <dcterms:created xsi:type="dcterms:W3CDTF">2021-02-04T13:00:00Z</dcterms:created>
  <dcterms:modified xsi:type="dcterms:W3CDTF">2021-02-08T10:39:00Z</dcterms:modified>
</cp:coreProperties>
</file>